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CC96" w14:textId="77777777" w:rsidR="0096679B" w:rsidRDefault="00F92406">
      <w:r>
        <w:t>P</w:t>
      </w:r>
      <w:r w:rsidR="0008577A">
        <w:t xml:space="preserve">ress Release </w:t>
      </w:r>
      <w:r w:rsidRPr="00F92406">
        <w:rPr>
          <w:lang w:val="en-US"/>
        </w:rPr>
        <w:drawing>
          <wp:inline distT="0" distB="0" distL="0" distR="0" wp14:anchorId="1507A22B" wp14:editId="60E50DDB">
            <wp:extent cx="2961861" cy="993061"/>
            <wp:effectExtent l="0" t="0" r="1016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397" cy="99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8324" w14:textId="77777777" w:rsidR="0008577A" w:rsidRDefault="0008577A"/>
    <w:p w14:paraId="53A2BE17" w14:textId="77777777" w:rsidR="0008577A" w:rsidRPr="0008577A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08577A">
        <w:rPr>
          <w:rFonts w:ascii="Calibri" w:hAnsi="Calibri" w:cs="Calibri"/>
          <w:b/>
          <w:sz w:val="36"/>
          <w:szCs w:val="28"/>
          <w:lang w:val="en-US"/>
        </w:rPr>
        <w:t xml:space="preserve">Australian Summerfruit Exports Surge Ahead to China  </w:t>
      </w:r>
      <w:r w:rsidRPr="0008577A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14:paraId="2563532C" w14:textId="77777777" w:rsidR="0008577A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E7A7827" w14:textId="77777777" w:rsidR="0008577A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Australian summerfruit industry has recorded it best export season in over a decade as the new access to China saw export</w:t>
      </w:r>
      <w:r w:rsidR="00D115CB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soar.</w:t>
      </w:r>
    </w:p>
    <w:p w14:paraId="6B6060B5" w14:textId="77777777" w:rsidR="0008577A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B6AF95C" w14:textId="77777777" w:rsidR="0008577A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In results released by Summefruit Australia for the 2017/18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season</w:t>
      </w:r>
      <w:proofErr w:type="gramEnd"/>
      <w:r w:rsidR="00D775B4">
        <w:rPr>
          <w:rFonts w:ascii="Calibri" w:hAnsi="Calibri" w:cs="Calibri"/>
          <w:sz w:val="28"/>
          <w:szCs w:val="28"/>
          <w:lang w:val="en-US"/>
        </w:rPr>
        <w:t>,</w:t>
      </w:r>
      <w:r>
        <w:rPr>
          <w:rFonts w:ascii="Calibri" w:hAnsi="Calibri" w:cs="Calibri"/>
          <w:sz w:val="28"/>
          <w:szCs w:val="28"/>
          <w:lang w:val="en-US"/>
        </w:rPr>
        <w:t xml:space="preserve"> the exports of Australian peaches, nectarines, plums and apricots increased 27 per cent </w:t>
      </w:r>
      <w:r w:rsidR="00D775B4">
        <w:rPr>
          <w:rFonts w:ascii="Calibri" w:hAnsi="Calibri" w:cs="Calibri"/>
          <w:sz w:val="28"/>
          <w:szCs w:val="28"/>
          <w:lang w:val="en-US"/>
        </w:rPr>
        <w:t xml:space="preserve">year-on-year </w:t>
      </w:r>
      <w:r>
        <w:rPr>
          <w:rFonts w:ascii="Calibri" w:hAnsi="Calibri" w:cs="Calibri"/>
          <w:sz w:val="28"/>
          <w:szCs w:val="28"/>
          <w:lang w:val="en-US"/>
        </w:rPr>
        <w:t xml:space="preserve">to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17,785 tonnes, </w:t>
      </w:r>
      <w:r>
        <w:rPr>
          <w:rFonts w:ascii="Calibri" w:hAnsi="Calibri" w:cs="Calibri"/>
          <w:sz w:val="28"/>
          <w:szCs w:val="28"/>
          <w:lang w:val="en-US"/>
        </w:rPr>
        <w:t>worth A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$65.17 million </w:t>
      </w:r>
      <w:r w:rsidRPr="0008577A">
        <w:rPr>
          <w:rFonts w:ascii="Calibri" w:hAnsi="Calibri" w:cs="Calibri"/>
          <w:bCs/>
          <w:sz w:val="28"/>
          <w:szCs w:val="28"/>
          <w:lang w:val="en-US"/>
        </w:rPr>
        <w:t>(US$48m)</w:t>
      </w:r>
      <w:r w:rsidRPr="0008577A">
        <w:rPr>
          <w:rFonts w:ascii="Calibri" w:hAnsi="Calibri" w:cs="Calibri"/>
          <w:sz w:val="28"/>
          <w:szCs w:val="28"/>
          <w:lang w:val="en-US"/>
        </w:rPr>
        <w:t>.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01ED3723" w14:textId="77777777" w:rsidR="0008577A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0468DECF" w14:textId="77777777" w:rsidR="00D115CB" w:rsidRDefault="0008577A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China was the leading destination </w:t>
      </w:r>
      <w:r w:rsidR="00D775B4">
        <w:rPr>
          <w:rFonts w:ascii="Calibri" w:hAnsi="Calibri" w:cs="Calibri"/>
          <w:sz w:val="28"/>
          <w:szCs w:val="28"/>
          <w:lang w:val="en-US"/>
        </w:rPr>
        <w:t>receiving</w:t>
      </w:r>
      <w:r>
        <w:rPr>
          <w:rFonts w:ascii="Calibri" w:hAnsi="Calibri" w:cs="Calibri"/>
          <w:sz w:val="28"/>
          <w:szCs w:val="28"/>
          <w:lang w:val="en-US"/>
        </w:rPr>
        <w:t xml:space="preserve"> 4,985 tonnes </w:t>
      </w:r>
      <w:r w:rsidR="00D775B4">
        <w:rPr>
          <w:rFonts w:ascii="Calibri" w:hAnsi="Calibri" w:cs="Calibri"/>
          <w:sz w:val="28"/>
          <w:szCs w:val="28"/>
          <w:lang w:val="en-US"/>
        </w:rPr>
        <w:t xml:space="preserve">during the season from November to May </w:t>
      </w:r>
      <w:r>
        <w:rPr>
          <w:rFonts w:ascii="Calibri" w:hAnsi="Calibri" w:cs="Calibri"/>
          <w:sz w:val="28"/>
          <w:szCs w:val="28"/>
          <w:lang w:val="en-US"/>
        </w:rPr>
        <w:t>in addition to Hong Kong taking 3,30</w:t>
      </w:r>
      <w:r w:rsidR="00210B63">
        <w:rPr>
          <w:rFonts w:ascii="Calibri" w:hAnsi="Calibri" w:cs="Calibri"/>
          <w:sz w:val="28"/>
          <w:szCs w:val="28"/>
          <w:lang w:val="en-US"/>
        </w:rPr>
        <w:t>8</w:t>
      </w:r>
      <w:r>
        <w:rPr>
          <w:rFonts w:ascii="Calibri" w:hAnsi="Calibri" w:cs="Calibri"/>
          <w:sz w:val="28"/>
          <w:szCs w:val="28"/>
          <w:lang w:val="en-US"/>
        </w:rPr>
        <w:t xml:space="preserve"> tonnes. Australia gained access for nectarines to China in 2016 and followed by peaches, </w:t>
      </w:r>
      <w:r w:rsidR="00D115CB">
        <w:rPr>
          <w:rFonts w:ascii="Calibri" w:hAnsi="Calibri" w:cs="Calibri"/>
          <w:sz w:val="28"/>
          <w:szCs w:val="28"/>
          <w:lang w:val="en-US"/>
        </w:rPr>
        <w:t xml:space="preserve">plums and apricots in 2017. </w:t>
      </w:r>
    </w:p>
    <w:p w14:paraId="46385B4E" w14:textId="77777777" w:rsidR="00D115CB" w:rsidRDefault="00D115CB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7B13A154" w14:textId="77777777" w:rsidR="0008577A" w:rsidRDefault="00D115CB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Summerfruit Australia CEO John Moore said “For China to become the leading market for Australian summerfruit in the first year of full access is a fantastic result rewarding all the hard work by the industry and government over many years of negotiations.”</w:t>
      </w:r>
    </w:p>
    <w:p w14:paraId="3B211AE9" w14:textId="77777777" w:rsidR="00D115CB" w:rsidRDefault="00D115CB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00123F2E" w14:textId="77777777" w:rsidR="00D775B4" w:rsidRDefault="00D775B4" w:rsidP="00D775B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Australian Summerfruit exports have been on a pathway of sustained growth </w:t>
      </w:r>
      <w:r w:rsidR="00210B63">
        <w:rPr>
          <w:rFonts w:ascii="Calibri" w:hAnsi="Calibri" w:cs="Calibri"/>
          <w:sz w:val="28"/>
          <w:szCs w:val="28"/>
          <w:lang w:val="en-US"/>
        </w:rPr>
        <w:t xml:space="preserve">over the past 8 years </w:t>
      </w:r>
      <w:r>
        <w:rPr>
          <w:rFonts w:ascii="Calibri" w:hAnsi="Calibri" w:cs="Calibri"/>
          <w:sz w:val="28"/>
          <w:szCs w:val="28"/>
          <w:lang w:val="en-US"/>
        </w:rPr>
        <w:t xml:space="preserve">and have increased by an average 14 per cent per year, </w:t>
      </w:r>
      <w:r w:rsidR="00D237B2">
        <w:rPr>
          <w:rFonts w:ascii="Calibri" w:hAnsi="Calibri" w:cs="Calibri"/>
          <w:sz w:val="28"/>
          <w:szCs w:val="28"/>
          <w:lang w:val="en-US"/>
        </w:rPr>
        <w:t xml:space="preserve">before the 2018 season </w:t>
      </w:r>
      <w:r w:rsidR="00210B63">
        <w:rPr>
          <w:rFonts w:ascii="Calibri" w:hAnsi="Calibri" w:cs="Calibri"/>
          <w:sz w:val="28"/>
          <w:szCs w:val="28"/>
          <w:lang w:val="en-US"/>
        </w:rPr>
        <w:t>surge</w:t>
      </w:r>
      <w:r>
        <w:rPr>
          <w:rFonts w:ascii="Calibri" w:hAnsi="Calibri" w:cs="Calibri"/>
          <w:sz w:val="28"/>
          <w:szCs w:val="28"/>
          <w:lang w:val="en-US"/>
        </w:rPr>
        <w:t xml:space="preserve"> driven by the new China demand.</w:t>
      </w:r>
      <w:r w:rsidR="003444BA">
        <w:rPr>
          <w:rFonts w:ascii="Calibri" w:hAnsi="Calibri" w:cs="Calibri"/>
          <w:sz w:val="28"/>
          <w:szCs w:val="28"/>
          <w:lang w:val="en-US"/>
        </w:rPr>
        <w:t xml:space="preserve"> “We are well on our way to our goal of exporting 20 per cent of our national production.</w:t>
      </w:r>
      <w:proofErr w:type="gramStart"/>
      <w:r w:rsidR="003444BA">
        <w:rPr>
          <w:rFonts w:ascii="Calibri" w:hAnsi="Calibri" w:cs="Calibri"/>
          <w:sz w:val="28"/>
          <w:szCs w:val="28"/>
          <w:lang w:val="en-US"/>
        </w:rPr>
        <w:t>”</w:t>
      </w:r>
      <w:proofErr w:type="gramEnd"/>
      <w:r w:rsidR="003444BA">
        <w:rPr>
          <w:rFonts w:ascii="Calibri" w:hAnsi="Calibri" w:cs="Calibri"/>
          <w:sz w:val="28"/>
          <w:szCs w:val="28"/>
          <w:lang w:val="en-US"/>
        </w:rPr>
        <w:t xml:space="preserve"> said </w:t>
      </w:r>
      <w:proofErr w:type="spellStart"/>
      <w:r w:rsidR="003444BA">
        <w:rPr>
          <w:rFonts w:ascii="Calibri" w:hAnsi="Calibri" w:cs="Calibri"/>
          <w:sz w:val="28"/>
          <w:szCs w:val="28"/>
          <w:lang w:val="en-US"/>
        </w:rPr>
        <w:t>Mr</w:t>
      </w:r>
      <w:proofErr w:type="spellEnd"/>
      <w:r w:rsidR="003444BA">
        <w:rPr>
          <w:rFonts w:ascii="Calibri" w:hAnsi="Calibri" w:cs="Calibri"/>
          <w:sz w:val="28"/>
          <w:szCs w:val="28"/>
          <w:lang w:val="en-US"/>
        </w:rPr>
        <w:t xml:space="preserve"> Moore. </w:t>
      </w:r>
    </w:p>
    <w:p w14:paraId="570E75B7" w14:textId="77777777" w:rsidR="00D115CB" w:rsidRDefault="00D115CB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0C6DB8D" w14:textId="77777777" w:rsidR="00D237B2" w:rsidRDefault="00D237B2" w:rsidP="00D237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D237B2">
        <w:rPr>
          <w:rFonts w:ascii="Calibri" w:hAnsi="Calibri" w:cs="Calibri"/>
          <w:bCs/>
          <w:sz w:val="28"/>
          <w:szCs w:val="28"/>
          <w:lang w:val="en-US"/>
        </w:rPr>
        <w:t xml:space="preserve">Some 75 per cent of </w:t>
      </w:r>
      <w:r>
        <w:rPr>
          <w:rFonts w:ascii="Calibri" w:hAnsi="Calibri" w:cs="Calibri"/>
          <w:bCs/>
          <w:sz w:val="28"/>
          <w:szCs w:val="28"/>
          <w:lang w:val="en-US"/>
        </w:rPr>
        <w:t xml:space="preserve">the fruit was grown and exported from around Swan Hill and the Goulburn Valley in </w:t>
      </w:r>
      <w:r w:rsidRPr="00D237B2">
        <w:rPr>
          <w:rFonts w:ascii="Calibri" w:hAnsi="Calibri" w:cs="Calibri"/>
          <w:bCs/>
          <w:sz w:val="28"/>
          <w:szCs w:val="28"/>
          <w:lang w:val="en-US"/>
        </w:rPr>
        <w:t>Victoria</w:t>
      </w:r>
      <w:r>
        <w:rPr>
          <w:rFonts w:ascii="Calibri" w:hAnsi="Calibri" w:cs="Calibri"/>
          <w:bCs/>
          <w:sz w:val="28"/>
          <w:szCs w:val="28"/>
          <w:lang w:val="en-US"/>
        </w:rPr>
        <w:t xml:space="preserve">, and 16 per cent from </w:t>
      </w:r>
      <w:r>
        <w:rPr>
          <w:rFonts w:ascii="Calibri" w:hAnsi="Calibri" w:cs="Calibri"/>
          <w:sz w:val="28"/>
          <w:szCs w:val="28"/>
          <w:lang w:val="en-US"/>
        </w:rPr>
        <w:t>New South Wales. Western Australian summerfruit exports</w:t>
      </w:r>
      <w:r w:rsidR="00CD0B2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lifted 127 per cent to account for 6 per cent of national exports</w:t>
      </w:r>
      <w:r w:rsidR="00CD0B23">
        <w:rPr>
          <w:rFonts w:ascii="Calibri" w:hAnsi="Calibri" w:cs="Calibri"/>
          <w:sz w:val="28"/>
          <w:szCs w:val="28"/>
          <w:lang w:val="en-US"/>
        </w:rPr>
        <w:t>.</w:t>
      </w:r>
    </w:p>
    <w:p w14:paraId="47E1912E" w14:textId="77777777" w:rsidR="00CD0B23" w:rsidRDefault="00CD0B23" w:rsidP="00D237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338B6D33" w14:textId="77777777" w:rsidR="00CD0B23" w:rsidRDefault="00CD0B23" w:rsidP="00D237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According to the export analysis by Fresh Intelligence Consulting, over 40 per cent of the summerfruit exports were nectarines, 30 per cent plums, 28 per cent peaches and 2 per cent apricots. </w:t>
      </w:r>
    </w:p>
    <w:p w14:paraId="06E90F0E" w14:textId="77777777" w:rsidR="00CD0B23" w:rsidRDefault="00CD0B23" w:rsidP="00D237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35F3312D" w14:textId="77777777" w:rsidR="003E4348" w:rsidRDefault="003E4348" w:rsidP="00D237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lastRenderedPageBreak/>
        <w:t>Asian markets including China, Hong Kong, Singapore and Malaysia account for over 75 per cent of Australian summerfruit exports and a further 20 per cent is exported to Middle</w:t>
      </w:r>
      <w:r w:rsidR="003444BA">
        <w:rPr>
          <w:rFonts w:ascii="Calibri" w:hAnsi="Calibri" w:cs="Calibri"/>
          <w:sz w:val="28"/>
          <w:szCs w:val="28"/>
          <w:lang w:val="en-US"/>
        </w:rPr>
        <w:t xml:space="preserve"> East markets. </w:t>
      </w:r>
    </w:p>
    <w:p w14:paraId="4DB261D0" w14:textId="77777777" w:rsidR="003E4348" w:rsidRDefault="003E4348" w:rsidP="00D237B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F5F59EE" w14:textId="77777777" w:rsidR="00F92406" w:rsidRDefault="00983027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</w:t>
      </w:r>
      <w:r w:rsidR="0008577A">
        <w:rPr>
          <w:rFonts w:ascii="Calibri" w:hAnsi="Calibri" w:cs="Calibri"/>
          <w:sz w:val="28"/>
          <w:szCs w:val="28"/>
          <w:lang w:val="en-US"/>
        </w:rPr>
        <w:t xml:space="preserve">ummerfruit imports by key Asian markets from all sources </w:t>
      </w:r>
      <w:r w:rsidR="003444BA">
        <w:rPr>
          <w:rFonts w:ascii="Calibri" w:hAnsi="Calibri" w:cs="Calibri"/>
          <w:sz w:val="28"/>
          <w:szCs w:val="28"/>
          <w:lang w:val="en-US"/>
        </w:rPr>
        <w:t xml:space="preserve">over the last 10 years </w:t>
      </w:r>
      <w:r w:rsidR="0008577A">
        <w:rPr>
          <w:rFonts w:ascii="Calibri" w:hAnsi="Calibri" w:cs="Calibri"/>
          <w:sz w:val="28"/>
          <w:szCs w:val="28"/>
          <w:lang w:val="en-US"/>
        </w:rPr>
        <w:t>have increased from 90 to 146 thousand tonnes. China is now the largest importer of summerfruit in Asia</w:t>
      </w:r>
      <w:r w:rsidR="003444BA">
        <w:rPr>
          <w:rFonts w:ascii="Calibri" w:hAnsi="Calibri" w:cs="Calibri"/>
          <w:sz w:val="28"/>
          <w:szCs w:val="28"/>
          <w:lang w:val="en-US"/>
        </w:rPr>
        <w:t xml:space="preserve"> sourcing mostly from Southern Hemisphere suppliers for the counter seasonal opportunity</w:t>
      </w:r>
      <w:r w:rsidR="0008577A">
        <w:rPr>
          <w:rFonts w:ascii="Calibri" w:hAnsi="Calibri" w:cs="Calibri"/>
          <w:sz w:val="28"/>
          <w:szCs w:val="28"/>
          <w:lang w:val="en-US"/>
        </w:rPr>
        <w:t>.</w:t>
      </w:r>
      <w:r w:rsidR="003444BA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1809D27C" w14:textId="77777777" w:rsidR="00F92406" w:rsidRDefault="00F92406" w:rsidP="0008577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BDC9C6A" w14:textId="77777777" w:rsidR="00983027" w:rsidRDefault="00F92406" w:rsidP="00983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Australia’s position geographically, seasonality and production capability place</w:t>
      </w:r>
      <w:r w:rsidR="00983027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the industry in a </w:t>
      </w:r>
      <w:r w:rsidR="00983027">
        <w:rPr>
          <w:rFonts w:ascii="Calibri" w:hAnsi="Calibri" w:cs="Calibri"/>
          <w:sz w:val="28"/>
          <w:szCs w:val="28"/>
          <w:lang w:val="en-US"/>
        </w:rPr>
        <w:t>prime</w:t>
      </w:r>
      <w:r>
        <w:rPr>
          <w:rFonts w:ascii="Calibri" w:hAnsi="Calibri" w:cs="Calibri"/>
          <w:sz w:val="28"/>
          <w:szCs w:val="28"/>
          <w:lang w:val="en-US"/>
        </w:rPr>
        <w:t xml:space="preserve"> position to expand production and trade to meet the increas</w:t>
      </w:r>
      <w:r w:rsidR="00983027">
        <w:rPr>
          <w:rFonts w:ascii="Calibri" w:hAnsi="Calibri" w:cs="Calibri"/>
          <w:sz w:val="28"/>
          <w:szCs w:val="28"/>
          <w:lang w:val="en-US"/>
        </w:rPr>
        <w:t>ing</w:t>
      </w:r>
      <w:r>
        <w:rPr>
          <w:rFonts w:ascii="Calibri" w:hAnsi="Calibri" w:cs="Calibri"/>
          <w:sz w:val="28"/>
          <w:szCs w:val="28"/>
          <w:lang w:val="en-US"/>
        </w:rPr>
        <w:t xml:space="preserve"> demand </w:t>
      </w:r>
      <w:r w:rsidR="00983027">
        <w:rPr>
          <w:rFonts w:ascii="Calibri" w:hAnsi="Calibri" w:cs="Calibri"/>
          <w:sz w:val="28"/>
          <w:szCs w:val="28"/>
          <w:lang w:val="en-US"/>
        </w:rPr>
        <w:t xml:space="preserve">for high quality fresh counter-seasonal nectarines, peaches, plums and apricots </w:t>
      </w:r>
      <w:r>
        <w:rPr>
          <w:rFonts w:ascii="Calibri" w:hAnsi="Calibri" w:cs="Calibri"/>
          <w:sz w:val="28"/>
          <w:szCs w:val="28"/>
          <w:lang w:val="en-US"/>
        </w:rPr>
        <w:t>from discerning consumers</w:t>
      </w:r>
      <w:r w:rsidR="00983027">
        <w:rPr>
          <w:rFonts w:ascii="Calibri" w:hAnsi="Calibri" w:cs="Calibri"/>
          <w:sz w:val="28"/>
          <w:szCs w:val="28"/>
          <w:lang w:val="en-US"/>
        </w:rPr>
        <w:t xml:space="preserve"> in Asia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08577A">
        <w:rPr>
          <w:rFonts w:ascii="Calibri" w:hAnsi="Calibri" w:cs="Calibri"/>
          <w:sz w:val="28"/>
          <w:szCs w:val="28"/>
          <w:lang w:val="en-US"/>
        </w:rPr>
        <w:t> </w:t>
      </w:r>
      <w:r w:rsidR="00983027">
        <w:rPr>
          <w:rFonts w:ascii="Calibri" w:hAnsi="Calibri" w:cs="Calibri"/>
          <w:sz w:val="28"/>
          <w:szCs w:val="28"/>
          <w:lang w:val="en-US"/>
        </w:rPr>
        <w:tab/>
      </w:r>
      <w:r w:rsidR="00983027">
        <w:rPr>
          <w:rFonts w:ascii="Calibri" w:hAnsi="Calibri" w:cs="Calibri"/>
          <w:sz w:val="28"/>
          <w:szCs w:val="28"/>
          <w:lang w:val="en-US"/>
        </w:rPr>
        <w:tab/>
      </w:r>
      <w:r w:rsidR="00983027">
        <w:rPr>
          <w:rFonts w:ascii="Calibri" w:hAnsi="Calibri" w:cs="Calibri"/>
          <w:sz w:val="28"/>
          <w:szCs w:val="28"/>
          <w:lang w:val="en-US"/>
        </w:rPr>
        <w:tab/>
      </w:r>
      <w:r w:rsidR="00983027">
        <w:rPr>
          <w:rFonts w:ascii="Calibri" w:hAnsi="Calibri" w:cs="Calibri"/>
          <w:sz w:val="28"/>
          <w:szCs w:val="28"/>
          <w:lang w:val="en-US"/>
        </w:rPr>
        <w:tab/>
      </w:r>
    </w:p>
    <w:p w14:paraId="69695F47" w14:textId="77777777" w:rsidR="00CD0B23" w:rsidRDefault="00F92406" w:rsidP="00983027">
      <w:pPr>
        <w:widowControl w:val="0"/>
        <w:autoSpaceDE w:val="0"/>
        <w:autoSpaceDN w:val="0"/>
        <w:adjustRightInd w:val="0"/>
        <w:ind w:left="2160" w:firstLine="720"/>
      </w:pPr>
      <w:r>
        <w:t xml:space="preserve">------------- </w:t>
      </w:r>
      <w:proofErr w:type="gramStart"/>
      <w:r>
        <w:t>end</w:t>
      </w:r>
      <w:proofErr w:type="gramEnd"/>
      <w:r>
        <w:t xml:space="preserve"> ---------------</w:t>
      </w:r>
    </w:p>
    <w:p w14:paraId="0A791FA8" w14:textId="77777777" w:rsidR="00983027" w:rsidRDefault="00983027" w:rsidP="00983027">
      <w:pPr>
        <w:widowControl w:val="0"/>
        <w:autoSpaceDE w:val="0"/>
        <w:autoSpaceDN w:val="0"/>
        <w:adjustRightInd w:val="0"/>
      </w:pPr>
    </w:p>
    <w:tbl>
      <w:tblPr>
        <w:tblW w:w="6891" w:type="dxa"/>
        <w:tblInd w:w="93" w:type="dxa"/>
        <w:tblLook w:val="04A0" w:firstRow="1" w:lastRow="0" w:firstColumn="1" w:lastColumn="0" w:noHBand="0" w:noVBand="1"/>
      </w:tblPr>
      <w:tblGrid>
        <w:gridCol w:w="3481"/>
        <w:gridCol w:w="1425"/>
        <w:gridCol w:w="1126"/>
        <w:gridCol w:w="859"/>
      </w:tblGrid>
      <w:tr w:rsidR="00CD0B23" w:rsidRPr="00CD0B23" w14:paraId="05F882B7" w14:textId="77777777" w:rsidTr="00983027">
        <w:trPr>
          <w:trHeight w:val="318"/>
        </w:trPr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22FB" w14:textId="77777777" w:rsidR="00CD0B23" w:rsidRPr="00CD0B23" w:rsidRDefault="009D2AA6" w:rsidP="00CD0B2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Australian </w:t>
            </w:r>
            <w:r w:rsidR="00CD0B23" w:rsidRPr="00CD0B23">
              <w:rPr>
                <w:rFonts w:ascii="Calibri" w:eastAsia="Times New Roman" w:hAnsi="Calibri" w:cs="Times New Roman"/>
                <w:b/>
                <w:bCs/>
                <w:color w:val="000000"/>
              </w:rPr>
              <w:t>Summerfruit Exports by Market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E4CD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D0B23" w:rsidRPr="00CD0B23" w14:paraId="593A7AC2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4BB9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4B640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July to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07802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DEDC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D0B23" w:rsidRPr="00CD0B23" w14:paraId="21F47CCB" w14:textId="77777777" w:rsidTr="00983027">
        <w:trPr>
          <w:trHeight w:val="298"/>
        </w:trPr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44057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Market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5179A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77286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Chg</w:t>
            </w:r>
            <w:proofErr w:type="spellEnd"/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LY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130A9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Share </w:t>
            </w:r>
          </w:p>
        </w:tc>
      </w:tr>
      <w:tr w:rsidR="00CD0B23" w:rsidRPr="00CD0B23" w14:paraId="161A6B37" w14:textId="77777777" w:rsidTr="00983027">
        <w:trPr>
          <w:trHeight w:val="29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3078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3254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Tonnes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85F9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89E7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CD0B23" w:rsidRPr="00CD0B23" w14:paraId="046B8DF9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E00B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CF47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4,985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A2FE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E00F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28.1%</w:t>
            </w:r>
          </w:p>
        </w:tc>
      </w:tr>
      <w:tr w:rsidR="00CD0B23" w:rsidRPr="00CD0B23" w14:paraId="311D6FEE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39F0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73AA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3,308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4BE6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9C3B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18.6%</w:t>
            </w:r>
          </w:p>
        </w:tc>
      </w:tr>
      <w:tr w:rsidR="00CD0B23" w:rsidRPr="00CD0B23" w14:paraId="7D15CA82" w14:textId="77777777" w:rsidTr="00983027">
        <w:trPr>
          <w:trHeight w:val="29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D7E6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759C" w14:textId="77777777" w:rsidR="00CD0B23" w:rsidRPr="00CD0B23" w:rsidRDefault="00CD0B23" w:rsidP="00F924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2,4</w:t>
            </w:r>
            <w:r w:rsidR="00F924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C075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19BA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13.8%</w:t>
            </w:r>
          </w:p>
        </w:tc>
        <w:bookmarkStart w:id="0" w:name="_GoBack"/>
        <w:bookmarkEnd w:id="0"/>
      </w:tr>
      <w:tr w:rsidR="00CD0B23" w:rsidRPr="00CD0B23" w14:paraId="7452317B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EA8B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A026" w14:textId="77777777" w:rsidR="00CD0B23" w:rsidRPr="00CD0B23" w:rsidRDefault="00CD0B23" w:rsidP="00F924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1,88</w:t>
            </w:r>
            <w:r w:rsidR="00F924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CC0D9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F2603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10.6%</w:t>
            </w:r>
          </w:p>
        </w:tc>
      </w:tr>
      <w:tr w:rsidR="00CD0B23" w:rsidRPr="00CD0B23" w14:paraId="3872A675" w14:textId="77777777" w:rsidTr="00983027">
        <w:trPr>
          <w:trHeight w:val="29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2735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E8E8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1,378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DF26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B0F5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7.8%</w:t>
            </w:r>
          </w:p>
        </w:tc>
      </w:tr>
      <w:tr w:rsidR="00CD0B23" w:rsidRPr="00CD0B23" w14:paraId="1FF3E761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AF4C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B373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884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2F80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0A7C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5.0%</w:t>
            </w:r>
          </w:p>
        </w:tc>
      </w:tr>
      <w:tr w:rsidR="00CD0B23" w:rsidRPr="00CD0B23" w14:paraId="0CF9F662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2DC8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3EAE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620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57C8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3A78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3.5%</w:t>
            </w:r>
          </w:p>
        </w:tc>
      </w:tr>
      <w:tr w:rsidR="00CD0B23" w:rsidRPr="00CD0B23" w14:paraId="4066B42D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D53B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2B26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598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2E3D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8C768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3.4%</w:t>
            </w:r>
          </w:p>
        </w:tc>
      </w:tr>
      <w:tr w:rsidR="00CD0B23" w:rsidRPr="00CD0B23" w14:paraId="523B0440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B028E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E41F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52746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++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49C5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2.1%</w:t>
            </w:r>
          </w:p>
        </w:tc>
      </w:tr>
      <w:tr w:rsidR="00CD0B23" w:rsidRPr="00CD0B23" w14:paraId="1612DC87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EE47D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0760F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353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17CF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42B6D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2.0%</w:t>
            </w:r>
          </w:p>
        </w:tc>
      </w:tr>
      <w:tr w:rsidR="00CD0B23" w:rsidRPr="00CD0B23" w14:paraId="6AC62040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D81E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9F621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13F3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E2174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1.5%</w:t>
            </w:r>
          </w:p>
        </w:tc>
      </w:tr>
      <w:tr w:rsidR="00CD0B23" w:rsidRPr="00CD0B23" w14:paraId="6A7ECA3F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3188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91907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20D97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30D9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0.6%</w:t>
            </w:r>
          </w:p>
        </w:tc>
      </w:tr>
      <w:tr w:rsidR="00CD0B23" w:rsidRPr="00CD0B23" w14:paraId="09DE2EC3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D5CA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665F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B2900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9A59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0.6%</w:t>
            </w:r>
          </w:p>
        </w:tc>
      </w:tr>
      <w:tr w:rsidR="00CD0B23" w:rsidRPr="00CD0B23" w14:paraId="0A1DD019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ADEE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5B0D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EE885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3E9C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0.5%</w:t>
            </w:r>
          </w:p>
        </w:tc>
      </w:tr>
      <w:tr w:rsidR="00CD0B23" w:rsidRPr="00CD0B23" w14:paraId="0367BED3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185D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73FE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28056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2B66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0.4%</w:t>
            </w:r>
          </w:p>
        </w:tc>
      </w:tr>
      <w:tr w:rsidR="00CD0B23" w:rsidRPr="00CD0B23" w14:paraId="0D13EAFF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0652B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all</w:t>
            </w:r>
            <w:proofErr w:type="gramEnd"/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other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E529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14C2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3F87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3.1%</w:t>
            </w:r>
          </w:p>
        </w:tc>
      </w:tr>
      <w:tr w:rsidR="00CD0B23" w:rsidRPr="00CD0B23" w14:paraId="5BC97552" w14:textId="77777777" w:rsidTr="00983027">
        <w:trPr>
          <w:trHeight w:val="27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B0104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E221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9C023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CE8BC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D0B23" w:rsidRPr="00CD0B23" w14:paraId="21115E37" w14:textId="77777777" w:rsidTr="00983027">
        <w:trPr>
          <w:trHeight w:val="298"/>
        </w:trPr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6C2E6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Tonnes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FD1EA" w14:textId="77777777" w:rsidR="00CD0B23" w:rsidRPr="00CD0B23" w:rsidRDefault="00CD0B23" w:rsidP="00F924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17,7</w:t>
            </w:r>
            <w:r w:rsidR="00F924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4C81E" w14:textId="77777777" w:rsidR="00CD0B23" w:rsidRPr="00CD0B23" w:rsidRDefault="00CD0B23" w:rsidP="00CD0B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DCCAA" w14:textId="77777777" w:rsidR="00CD0B23" w:rsidRPr="00CD0B23" w:rsidRDefault="00CD0B23" w:rsidP="00CD0B2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  <w:tr w:rsidR="00CD0B23" w:rsidRPr="00CD0B23" w14:paraId="44A6428C" w14:textId="77777777" w:rsidTr="00983027">
        <w:trPr>
          <w:trHeight w:val="83"/>
        </w:trPr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3042" w14:textId="77777777" w:rsidR="00CD0B23" w:rsidRPr="00CD0B23" w:rsidRDefault="00CD0B23" w:rsidP="00F9240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Source: ABS</w:t>
            </w:r>
            <w:r w:rsidR="00F9240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(2018)</w:t>
            </w:r>
            <w:r w:rsidR="00F9240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via IHS Global Trade Atlas</w:t>
            </w:r>
            <w:r w:rsidRPr="00CD0B2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; Fresh Intelligence analysis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02A5E" w14:textId="77777777" w:rsidR="00CD0B23" w:rsidRPr="00CD0B23" w:rsidRDefault="00CD0B23" w:rsidP="00CD0B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D0B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953CC00" w14:textId="77777777" w:rsidR="00CD0B23" w:rsidRDefault="00CD0B23"/>
    <w:p w14:paraId="5EC5FF5A" w14:textId="77777777" w:rsidR="009D2AA6" w:rsidRDefault="009D2AA6" w:rsidP="009D2AA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0"/>
          <w:lang w:val="en-US"/>
        </w:rPr>
      </w:pPr>
      <w:r>
        <w:rPr>
          <w:rFonts w:ascii="Calibri" w:hAnsi="Calibri" w:cs="Calibri"/>
          <w:sz w:val="28"/>
          <w:szCs w:val="30"/>
          <w:lang w:val="en-US"/>
        </w:rPr>
        <w:t xml:space="preserve">For information: </w:t>
      </w:r>
    </w:p>
    <w:p w14:paraId="6CE21A5A" w14:textId="77777777" w:rsidR="009D2AA6" w:rsidRPr="00983027" w:rsidRDefault="009D2AA6" w:rsidP="009D2AA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30"/>
          <w:lang w:val="en-US"/>
        </w:rPr>
      </w:pPr>
      <w:r w:rsidRPr="00983027">
        <w:rPr>
          <w:rFonts w:ascii="Calibri" w:hAnsi="Calibri" w:cs="Calibri"/>
          <w:sz w:val="28"/>
          <w:szCs w:val="30"/>
          <w:lang w:val="en-US"/>
        </w:rPr>
        <w:t>John Moore </w:t>
      </w:r>
    </w:p>
    <w:p w14:paraId="3919D5CC" w14:textId="77777777" w:rsidR="009D2AA6" w:rsidRPr="00983027" w:rsidRDefault="009D2AA6" w:rsidP="009D2AA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30"/>
          <w:lang w:val="en-US"/>
        </w:rPr>
      </w:pPr>
      <w:r w:rsidRPr="00983027">
        <w:rPr>
          <w:rFonts w:ascii="Calibri" w:hAnsi="Calibri" w:cs="Calibri"/>
          <w:sz w:val="28"/>
          <w:szCs w:val="30"/>
          <w:lang w:val="en-US"/>
        </w:rPr>
        <w:t>CEO Summerfruit Australia Ltd </w:t>
      </w:r>
    </w:p>
    <w:p w14:paraId="2F2BCA8D" w14:textId="77777777" w:rsidR="009D2AA6" w:rsidRPr="00983027" w:rsidRDefault="009D2AA6" w:rsidP="009D2AA6">
      <w:pPr>
        <w:ind w:left="720"/>
        <w:rPr>
          <w:rFonts w:ascii="Calibri" w:hAnsi="Calibri" w:cs="Calibri"/>
          <w:sz w:val="28"/>
          <w:szCs w:val="30"/>
          <w:lang w:val="en-US"/>
        </w:rPr>
      </w:pPr>
      <w:r w:rsidRPr="00983027">
        <w:rPr>
          <w:rFonts w:ascii="Calibri" w:hAnsi="Calibri" w:cs="Calibri"/>
          <w:sz w:val="28"/>
          <w:szCs w:val="30"/>
          <w:lang w:val="en-US"/>
        </w:rPr>
        <w:t xml:space="preserve">P. O. Box 1726 </w:t>
      </w:r>
      <w:proofErr w:type="spellStart"/>
      <w:r w:rsidRPr="00983027">
        <w:rPr>
          <w:rFonts w:ascii="Calibri" w:hAnsi="Calibri" w:cs="Calibri"/>
          <w:sz w:val="28"/>
          <w:szCs w:val="30"/>
          <w:lang w:val="en-US"/>
        </w:rPr>
        <w:t>Wodonga</w:t>
      </w:r>
      <w:proofErr w:type="spellEnd"/>
      <w:r w:rsidRPr="00983027">
        <w:rPr>
          <w:rFonts w:ascii="Calibri" w:hAnsi="Calibri" w:cs="Calibri"/>
          <w:sz w:val="28"/>
          <w:szCs w:val="30"/>
          <w:lang w:val="en-US"/>
        </w:rPr>
        <w:t>, Victoria 3689 </w:t>
      </w:r>
    </w:p>
    <w:p w14:paraId="3E065C17" w14:textId="77777777" w:rsidR="009D2AA6" w:rsidRPr="00983027" w:rsidRDefault="009D2AA6" w:rsidP="009D2AA6">
      <w:pPr>
        <w:ind w:left="720"/>
        <w:rPr>
          <w:rFonts w:ascii="Calibri" w:hAnsi="Calibri" w:cs="Calibri"/>
          <w:sz w:val="28"/>
          <w:szCs w:val="30"/>
          <w:lang w:val="en-US"/>
        </w:rPr>
      </w:pPr>
      <w:proofErr w:type="spellStart"/>
      <w:r w:rsidRPr="00983027">
        <w:rPr>
          <w:rFonts w:ascii="Calibri" w:hAnsi="Calibri" w:cs="Calibri"/>
          <w:sz w:val="28"/>
          <w:szCs w:val="30"/>
          <w:lang w:val="en-US"/>
        </w:rPr>
        <w:t>Ph</w:t>
      </w:r>
      <w:proofErr w:type="spellEnd"/>
      <w:r w:rsidRPr="00983027">
        <w:rPr>
          <w:rFonts w:ascii="Calibri" w:hAnsi="Calibri" w:cs="Calibri"/>
          <w:sz w:val="28"/>
          <w:szCs w:val="30"/>
          <w:lang w:val="en-US"/>
        </w:rPr>
        <w:t xml:space="preserve"> +61 2 6059 </w:t>
      </w:r>
      <w:proofErr w:type="gramStart"/>
      <w:r w:rsidRPr="00983027">
        <w:rPr>
          <w:rFonts w:ascii="Calibri" w:hAnsi="Calibri" w:cs="Calibri"/>
          <w:sz w:val="28"/>
          <w:szCs w:val="30"/>
          <w:lang w:val="en-US"/>
        </w:rPr>
        <w:t>0816   Mb</w:t>
      </w:r>
      <w:proofErr w:type="gramEnd"/>
      <w:r w:rsidRPr="00983027">
        <w:rPr>
          <w:rFonts w:ascii="Calibri" w:hAnsi="Calibri" w:cs="Calibri"/>
          <w:sz w:val="28"/>
          <w:szCs w:val="30"/>
          <w:lang w:val="en-US"/>
        </w:rPr>
        <w:t xml:space="preserve"> 0419 305 901</w:t>
      </w:r>
    </w:p>
    <w:sectPr w:rsidR="009D2AA6" w:rsidRPr="00983027" w:rsidSect="00966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7A"/>
    <w:rsid w:val="0008577A"/>
    <w:rsid w:val="00210B63"/>
    <w:rsid w:val="003444BA"/>
    <w:rsid w:val="003E4348"/>
    <w:rsid w:val="0096679B"/>
    <w:rsid w:val="00983027"/>
    <w:rsid w:val="009D2AA6"/>
    <w:rsid w:val="00CD0B23"/>
    <w:rsid w:val="00D115CB"/>
    <w:rsid w:val="00D237B2"/>
    <w:rsid w:val="00D775B4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CC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492</Words>
  <Characters>2806</Characters>
  <Application>Microsoft Macintosh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Prowse</dc:creator>
  <cp:keywords/>
  <dc:description/>
  <cp:lastModifiedBy>Wayne Prowse</cp:lastModifiedBy>
  <cp:revision>2</cp:revision>
  <dcterms:created xsi:type="dcterms:W3CDTF">2018-07-24T04:59:00Z</dcterms:created>
  <dcterms:modified xsi:type="dcterms:W3CDTF">2018-07-24T06:46:00Z</dcterms:modified>
</cp:coreProperties>
</file>