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tblW w:w="5000" w:type="pct"/>
        <w:tblCellSpacing w:w="0" w:type="dxa"/>
        <w:shd w:val="clear" w:color="auto" w:fill="EFEEE7"/>
        <w:tblCellMar>
          <w:left w:w="0" w:type="dxa"/>
          <w:right w:w="0" w:type="dxa"/>
        </w:tblCellMar>
        <w:tblLook w:val="04A0" w:firstRow="1" w:lastRow="0" w:firstColumn="1" w:lastColumn="0" w:noHBand="0" w:noVBand="1"/>
      </w:tblPr>
      <w:tblGrid>
        <w:gridCol w:w="9020"/>
      </w:tblGrid>
      <w:tr w:rsidR="0023386E" w:rsidRPr="0023386E" w:rsidTr="0023386E">
        <w:trPr>
          <w:tblCellSpacing w:w="0" w:type="dxa"/>
        </w:trPr>
        <w:tc>
          <w:tcPr>
            <w:tcW w:w="5000" w:type="pct"/>
            <w:shd w:val="clear" w:color="auto" w:fill="EFEEE7"/>
            <w:hideMark/>
          </w:tcPr>
          <w:tbl>
            <w:tblPr>
              <w:tblW w:w="9750" w:type="dxa"/>
              <w:jc w:val="center"/>
              <w:tblCellSpacing w:w="0" w:type="dxa"/>
              <w:shd w:val="clear" w:color="auto" w:fill="EFEEE7"/>
              <w:tblCellMar>
                <w:left w:w="0" w:type="dxa"/>
                <w:right w:w="0" w:type="dxa"/>
              </w:tblCellMar>
              <w:tblLook w:val="04A0" w:firstRow="1" w:lastRow="0" w:firstColumn="1" w:lastColumn="0" w:noHBand="0" w:noVBand="1"/>
            </w:tblPr>
            <w:tblGrid>
              <w:gridCol w:w="9020"/>
            </w:tblGrid>
            <w:tr w:rsidR="0023386E" w:rsidRPr="0023386E">
              <w:trPr>
                <w:tblCellSpacing w:w="0" w:type="dxa"/>
                <w:jc w:val="center"/>
              </w:trPr>
              <w:tc>
                <w:tcPr>
                  <w:tcW w:w="9750" w:type="dxa"/>
                  <w:shd w:val="clear" w:color="auto" w:fill="FFFFFF"/>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23386E" w:rsidRPr="0023386E">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3386E" w:rsidRPr="0023386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3386E" w:rsidRPr="0023386E">
                                <w:trPr>
                                  <w:trHeight w:val="360"/>
                                  <w:tblCellSpacing w:w="0" w:type="dxa"/>
                                </w:trPr>
                                <w:tc>
                                  <w:tcPr>
                                    <w:tcW w:w="0" w:type="auto"/>
                                    <w:hideMark/>
                                  </w:tcPr>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r w:rsidR="0023386E" w:rsidRPr="0023386E">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3386E" w:rsidRPr="0023386E">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23386E" w:rsidRPr="0023386E">
                                <w:trPr>
                                  <w:tblCellSpacing w:w="0" w:type="dxa"/>
                                  <w:jc w:val="center"/>
                                </w:trPr>
                                <w:tc>
                                  <w:tcPr>
                                    <w:tcW w:w="9750" w:type="dxa"/>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Calibri" w:eastAsia="Times New Roman" w:hAnsi="Calibri" w:cs="Calibri"/>
                                        <w:sz w:val="20"/>
                                        <w:szCs w:val="20"/>
                                        <w:lang w:val="en-AU"/>
                                      </w:rPr>
                                      <w:fldChar w:fldCharType="begin"/>
                                    </w:r>
                                    <w:r w:rsidRPr="0023386E">
                                      <w:rPr>
                                        <w:rFonts w:ascii="Calibri" w:eastAsia="Times New Roman" w:hAnsi="Calibri" w:cs="Calibri"/>
                                        <w:sz w:val="20"/>
                                        <w:szCs w:val="20"/>
                                        <w:lang w:val="en-AU"/>
                                      </w:rPr>
                                      <w:instrText xml:space="preserve"> INCLUDEPICTURE "/var/folders/3m/twt1r5ws7jbfqbl8y08kyx4m0000gn/T/com.microsoft.Word/WebArchiveCopyPasteTempFiles/22da672df7fef0d86489bdcc1e89cd36.png?r=686381584" \* MERGEFORMATINET </w:instrText>
                                    </w:r>
                                    <w:r w:rsidRPr="0023386E">
                                      <w:rPr>
                                        <w:rFonts w:ascii="Calibri" w:eastAsia="Times New Roman" w:hAnsi="Calibri" w:cs="Calibri"/>
                                        <w:sz w:val="20"/>
                                        <w:szCs w:val="20"/>
                                        <w:lang w:val="en-AU"/>
                                      </w:rPr>
                                      <w:fldChar w:fldCharType="separate"/>
                                    </w:r>
                                    <w:r w:rsidRPr="0023386E">
                                      <w:rPr>
                                        <w:rFonts w:ascii="Calibri" w:eastAsia="Times New Roman" w:hAnsi="Calibri" w:cs="Calibri"/>
                                        <w:noProof/>
                                        <w:sz w:val="20"/>
                                        <w:szCs w:val="20"/>
                                        <w:lang w:val="en-AU"/>
                                      </w:rPr>
                                      <w:drawing>
                                        <wp:inline distT="0" distB="0" distL="0" distR="0">
                                          <wp:extent cx="2540000" cy="1765300"/>
                                          <wp:effectExtent l="0" t="0" r="0" b="0"/>
                                          <wp:docPr id="10" name="Picture 10" descr="/var/folders/3m/twt1r5ws7jbfqbl8y08kyx4m0000gn/T/com.microsoft.Word/WebArchiveCopyPasteTempFiles/22da672df7fef0d86489bdcc1e89cd36.png?r=68638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m/twt1r5ws7jbfqbl8y08kyx4m0000gn/T/com.microsoft.Word/WebArchiveCopyPasteTempFiles/22da672df7fef0d86489bdcc1e89cd36.png?r=6863815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765300"/>
                                                  </a:xfrm>
                                                  <a:prstGeom prst="rect">
                                                    <a:avLst/>
                                                  </a:prstGeom>
                                                  <a:noFill/>
                                                  <a:ln>
                                                    <a:noFill/>
                                                  </a:ln>
                                                </pic:spPr>
                                              </pic:pic>
                                            </a:graphicData>
                                          </a:graphic>
                                        </wp:inline>
                                      </w:drawing>
                                    </w:r>
                                    <w:r w:rsidRPr="0023386E">
                                      <w:rPr>
                                        <w:rFonts w:ascii="Calibri" w:eastAsia="Times New Roman" w:hAnsi="Calibri" w:cs="Calibri"/>
                                        <w:sz w:val="20"/>
                                        <w:szCs w:val="20"/>
                                        <w:lang w:val="en-AU"/>
                                      </w:rPr>
                                      <w:fldChar w:fldCharType="end"/>
                                    </w:r>
                                  </w:p>
                                </w:tc>
                              </w:tr>
                            </w:tbl>
                            <w:p w:rsidR="0023386E" w:rsidRPr="0023386E" w:rsidRDefault="0023386E" w:rsidP="0023386E">
                              <w:pPr>
                                <w:framePr w:wrap="around" w:vAnchor="text" w:hAnchor="text"/>
                                <w:jc w:val="center"/>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r w:rsidR="0023386E" w:rsidRPr="0023386E">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3386E" w:rsidRPr="0023386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3386E" w:rsidRPr="0023386E">
                                <w:trPr>
                                  <w:trHeight w:val="3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3386E" w:rsidRPr="0023386E">
                                      <w:trPr>
                                        <w:trHeight w:val="360"/>
                                        <w:tblCellSpacing w:w="0" w:type="dxa"/>
                                      </w:trPr>
                                      <w:tc>
                                        <w:tcPr>
                                          <w:tcW w:w="9750" w:type="dxa"/>
                                          <w:hideMark/>
                                        </w:tcPr>
                                        <w:p w:rsidR="0023386E" w:rsidRPr="0023386E" w:rsidRDefault="0023386E" w:rsidP="0023386E">
                                          <w:pPr>
                                            <w:framePr w:wrap="around" w:vAnchor="text" w:hAnchor="text"/>
                                            <w:rPr>
                                              <w:rFonts w:ascii="Calibri" w:eastAsia="Times New Roman" w:hAnsi="Calibri" w:cs="Calibri"/>
                                              <w:sz w:val="22"/>
                                              <w:szCs w:val="22"/>
                                              <w:lang w:val="en-AU"/>
                                            </w:rPr>
                                          </w:pPr>
                                          <w:r w:rsidRPr="0023386E">
                                            <w:rPr>
                                              <w:rFonts w:ascii="Calibri" w:eastAsia="Times New Roman" w:hAnsi="Calibri" w:cs="Calibri"/>
                                              <w:sz w:val="20"/>
                                              <w:szCs w:val="20"/>
                                              <w:lang w:val="en-AU"/>
                                            </w:rPr>
                                            <w:t> </w:t>
                                          </w: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r w:rsidR="0023386E" w:rsidRPr="0023386E">
                    <w:trPr>
                      <w:tblCellSpacing w:w="0" w:type="dxa"/>
                      <w:jc w:val="center"/>
                    </w:trPr>
                    <w:tc>
                      <w:tcPr>
                        <w:tcW w:w="0" w:type="auto"/>
                        <w:shd w:val="clear" w:color="auto" w:fill="FFFFFF"/>
                        <w:tcMar>
                          <w:top w:w="0" w:type="dxa"/>
                          <w:left w:w="525" w:type="dxa"/>
                          <w:bottom w:w="0" w:type="dxa"/>
                          <w:right w:w="525"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23386E" w:rsidRPr="0023386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23386E" w:rsidRPr="0023386E">
                                <w:trPr>
                                  <w:tblCellSpacing w:w="0" w:type="dxa"/>
                                </w:trPr>
                                <w:tc>
                                  <w:tcPr>
                                    <w:tcW w:w="0" w:type="auto"/>
                                    <w:hideMark/>
                                  </w:tcPr>
                                  <w:p w:rsidR="0023386E" w:rsidRPr="0023386E" w:rsidRDefault="0023386E" w:rsidP="0023386E">
                                    <w:pPr>
                                      <w:framePr w:wrap="around" w:vAnchor="text" w:hAnchor="text"/>
                                      <w:spacing w:after="240"/>
                                      <w:jc w:val="center"/>
                                      <w:rPr>
                                        <w:rFonts w:ascii="Calibri" w:eastAsia="Times New Roman" w:hAnsi="Calibri" w:cs="Calibri"/>
                                        <w:sz w:val="22"/>
                                        <w:szCs w:val="22"/>
                                        <w:lang w:val="en-AU"/>
                                      </w:rPr>
                                    </w:pPr>
                                    <w:r w:rsidRPr="0023386E">
                                      <w:rPr>
                                        <w:rFonts w:ascii="Roboto" w:eastAsia="Times New Roman" w:hAnsi="Roboto" w:cs="Calibri"/>
                                        <w:color w:val="3F3F3F"/>
                                        <w:sz w:val="20"/>
                                        <w:szCs w:val="20"/>
                                        <w:lang w:val="en-AU"/>
                                      </w:rPr>
                                      <w:t>4 APRIL 2019</w:t>
                                    </w:r>
                                    <w:r w:rsidRPr="0023386E">
                                      <w:rPr>
                                        <w:rFonts w:ascii="Arial" w:eastAsia="Times New Roman" w:hAnsi="Arial" w:cs="Arial"/>
                                        <w:color w:val="3F3F3F"/>
                                        <w:sz w:val="20"/>
                                        <w:szCs w:val="20"/>
                                        <w:lang w:val="en-AU"/>
                                      </w:rPr>
                                      <w:br/>
                                    </w:r>
                                    <w:r w:rsidRPr="0023386E">
                                      <w:rPr>
                                        <w:rFonts w:ascii="Arial" w:eastAsia="Times New Roman" w:hAnsi="Arial" w:cs="Arial"/>
                                        <w:color w:val="3F3F3F"/>
                                        <w:sz w:val="20"/>
                                        <w:szCs w:val="20"/>
                                        <w:lang w:val="en-AU"/>
                                      </w:rPr>
                                      <w:br/>
                                    </w:r>
                                    <w:r w:rsidRPr="0023386E">
                                      <w:rPr>
                                        <w:rFonts w:ascii="Georgia" w:eastAsia="Times New Roman" w:hAnsi="Georgia" w:cs="Calibri"/>
                                        <w:b/>
                                        <w:bCs/>
                                        <w:color w:val="3F3F3F"/>
                                        <w:sz w:val="30"/>
                                        <w:szCs w:val="30"/>
                                        <w:lang w:val="en-AU"/>
                                      </w:rPr>
                                      <w:t>Commission’s 14-day wage change leaves sour taste</w:t>
                                    </w:r>
                                    <w:r w:rsidRPr="0023386E">
                                      <w:rPr>
                                        <w:rFonts w:ascii="Georgia" w:eastAsia="Times New Roman" w:hAnsi="Georgia" w:cs="Calibri"/>
                                        <w:b/>
                                        <w:bCs/>
                                        <w:color w:val="3F3F3F"/>
                                        <w:sz w:val="30"/>
                                        <w:szCs w:val="30"/>
                                        <w:lang w:val="en-AU"/>
                                      </w:rPr>
                                      <w:br/>
                                      <w:t>with farmers</w:t>
                                    </w:r>
                                  </w:p>
                                  <w:p w:rsidR="0023386E" w:rsidRPr="0023386E" w:rsidRDefault="0023386E" w:rsidP="0023386E">
                                    <w:pPr>
                                      <w:framePr w:wrap="around" w:vAnchor="text" w:hAnchor="text"/>
                                      <w:rPr>
                                        <w:rFonts w:ascii="Calibri" w:eastAsia="Times New Roman" w:hAnsi="Calibri" w:cs="Calibri"/>
                                        <w:sz w:val="22"/>
                                        <w:szCs w:val="22"/>
                                        <w:lang w:val="en-AU"/>
                                      </w:rPr>
                                    </w:pPr>
                                    <w:r w:rsidRPr="0023386E">
                                      <w:rPr>
                                        <w:rFonts w:ascii="Arial" w:eastAsia="Times New Roman" w:hAnsi="Arial" w:cs="Arial"/>
                                        <w:sz w:val="18"/>
                                        <w:szCs w:val="18"/>
                                        <w:lang w:val="en-AU"/>
                                      </w:rPr>
                                      <w:t>The Fair Work Commission has blind-sided farmers, giving them only two weeks to introduce new overtime provisions for casual horticulture workers.</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In a 2017, the Fair Work Commission decided that casual employees working in the horticulture sector must receive overtime.</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The National Farmers’ Federation and other industry bodies worked with the Australian Workers Union and National Union of Workers to develop a framework for the decision, which would minimise the impact on farmers.</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The NFF ultimately did not object to a proposal to require growers to pay a 15% ‘night loading’ where causal employees work overnight or overtime rates where the employees works more than 12 hours per day or 304 hours over 8 weeks.</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Although it was a change which many growers would find difficult to accommodate, the NFF took the view that it was less problematic than the possible alternatives outcomes, such as entitlements which mirror those of permanent employees.</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On Tuesday, the Fair Work Commission notified the sector that it would adopt the compromise. However, in an ill-sighted decision about its implementation, the Commission extended only 14 days for fruit, vegetable and other horticulture producers, to understand and enact the changes.</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NFF CEO Tony Mahar said the move had left a sour taste.</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"Our discussion with the National Union of Workers and Australian Workers Union were robust but fair.</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"In early 2017 we arrived a decision where neither got everything they wanted, but in the end, an outcome was reached that was palatable to all.</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"The Commission took another 18 months to notify growers that it was adopting that outcome but has now allowed them a mere fortnight to implement.</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"We suggest the Commission needs to remember that until it formally adopted this arrangement, farmers were not sure where the decision would land. And, now as a result, farmers have been left at a distinct disadvantage."</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Mr Mahar said wages made up the highest component of a horticulture operation's cash costs.</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"Farmers need time to revisit their budgets, their business strategy and workforce planning to assess the impact of the change and time to modify their plans if needed.</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"It’s also the case that these changes aren’t straight forward.</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lastRenderedPageBreak/>
                                      <w:t>"Determining whether a worker is entitled to overtime requires calculation of a relatively complex formula considering hours worked, when and over what time period. All of this will take time."</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Although Growers have no choice now but to comply, the rush to do so will inevitably lead to mistakes and misunderstandings, and potential non-compliance.</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In a sector which is already struggling with significant labour challenges, fair-minded growers would be excused for thinking they have been set up to fail.</w:t>
                                    </w:r>
                                    <w:r w:rsidRPr="0023386E">
                                      <w:rPr>
                                        <w:rFonts w:ascii="Arial" w:eastAsia="Times New Roman" w:hAnsi="Arial" w:cs="Arial"/>
                                        <w:sz w:val="18"/>
                                        <w:szCs w:val="18"/>
                                        <w:lang w:val="en-AU"/>
                                      </w:rPr>
                                      <w:br/>
                                    </w:r>
                                    <w:r w:rsidRPr="0023386E">
                                      <w:rPr>
                                        <w:rFonts w:ascii="Arial" w:eastAsia="Times New Roman" w:hAnsi="Arial" w:cs="Arial"/>
                                        <w:color w:val="000000"/>
                                        <w:sz w:val="18"/>
                                        <w:szCs w:val="18"/>
                                        <w:lang w:val="en-AU"/>
                                      </w:rPr>
                                      <w:br/>
                                      <w:t>"The NFF implores the Fair Work Ombudsman to guarantee it will not prosecute farmers for non-compliance, for a period of 12 months after the implementation date.</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"Australian horticulture growers are suffering from workforce crisis, they simply can’t get the workers they need to, for example pick and pack their produce or to prune their trees.</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"The lack of access to workers is constraining farmers’ productivity, profitability and the flow-on benefits for regional Australia.</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"Ultimately the inability to source labour is holding back agriculture’s goal to be a $100 billion industry by 2030."</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"Farmers want to make working on their farm a rewarding experience and that's why we did not object to the introduction of overtime for casual workers.</w:t>
                                    </w:r>
                                    <w:r w:rsidRPr="0023386E">
                                      <w:rPr>
                                        <w:rFonts w:ascii="Arial" w:eastAsia="Times New Roman" w:hAnsi="Arial" w:cs="Arial"/>
                                        <w:sz w:val="18"/>
                                        <w:szCs w:val="18"/>
                                        <w:lang w:val="en-AU"/>
                                      </w:rPr>
                                      <w:br/>
                                    </w:r>
                                    <w:r w:rsidRPr="0023386E">
                                      <w:rPr>
                                        <w:rFonts w:ascii="Arial" w:eastAsia="Times New Roman" w:hAnsi="Arial" w:cs="Arial"/>
                                        <w:sz w:val="18"/>
                                        <w:szCs w:val="18"/>
                                        <w:lang w:val="en-AU"/>
                                      </w:rPr>
                                      <w:br/>
                                      <w:t>"The Fair Work’s two-week implementation period shows an astonishing ignorance of the way in which small businesses operate," Mr Mahar said.</w:t>
                                    </w: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r w:rsidR="0023386E" w:rsidRPr="0023386E">
                    <w:trPr>
                      <w:tblCellSpacing w:w="0" w:type="dxa"/>
                      <w:jc w:val="center"/>
                    </w:trPr>
                    <w:tc>
                      <w:tcPr>
                        <w:tcW w:w="0" w:type="auto"/>
                        <w:shd w:val="clear" w:color="auto" w:fill="FFFFFF"/>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23386E" w:rsidRPr="0023386E">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3386E" w:rsidRPr="0023386E">
                                <w:trPr>
                                  <w:tblCellSpacing w:w="0" w:type="dxa"/>
                                </w:trPr>
                                <w:tc>
                                  <w:tcPr>
                                    <w:tcW w:w="9000" w:type="dxa"/>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hyperlink r:id="rId5" w:history="1">
                                      <w:r w:rsidRPr="0023386E">
                                        <w:rPr>
                                          <w:rFonts w:ascii="Arial" w:eastAsia="Times New Roman" w:hAnsi="Arial" w:cs="Arial"/>
                                          <w:color w:val="FFFFFF"/>
                                          <w:sz w:val="21"/>
                                          <w:szCs w:val="21"/>
                                          <w:u w:val="single"/>
                                          <w:bdr w:val="single" w:sz="8" w:space="11" w:color="FFB400" w:frame="1"/>
                                          <w:shd w:val="clear" w:color="auto" w:fill="FFB400"/>
                                          <w:lang w:val="en-AU"/>
                                        </w:rPr>
                                        <w:t>VISIT OUR MEDIA CENTRE</w:t>
                                      </w:r>
                                    </w:hyperlink>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r w:rsidR="0023386E" w:rsidRPr="0023386E">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3386E" w:rsidRPr="0023386E">
                          <w:trPr>
                            <w:tblCellSpacing w:w="0" w:type="dxa"/>
                          </w:trPr>
                          <w:tc>
                            <w:tcPr>
                              <w:tcW w:w="0" w:type="auto"/>
                              <w:shd w:val="clear" w:color="auto" w:fill="3F3F3F"/>
                              <w:tcMar>
                                <w:top w:w="30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150"/>
                              </w:tblGrid>
                              <w:tr w:rsidR="0023386E" w:rsidRPr="0023386E">
                                <w:trPr>
                                  <w:tblCellSpacing w:w="0" w:type="dxa"/>
                                </w:trPr>
                                <w:tc>
                                  <w:tcPr>
                                    <w:tcW w:w="0" w:type="auto"/>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Georgia" w:eastAsia="Times New Roman" w:hAnsi="Georgia" w:cs="Calibri"/>
                                        <w:b/>
                                        <w:bCs/>
                                        <w:color w:val="FFFFFF"/>
                                        <w:sz w:val="30"/>
                                        <w:szCs w:val="30"/>
                                        <w:lang w:val="en-AU"/>
                                      </w:rPr>
                                      <w:t>Get in touch</w:t>
                                    </w:r>
                                    <w:r w:rsidRPr="0023386E">
                                      <w:rPr>
                                        <w:rFonts w:ascii="Arial" w:eastAsia="Times New Roman" w:hAnsi="Arial" w:cs="Arial"/>
                                        <w:color w:val="FFFFFF"/>
                                        <w:sz w:val="18"/>
                                        <w:szCs w:val="18"/>
                                        <w:lang w:val="en-AU"/>
                                      </w:rPr>
                                      <w:br/>
                                    </w:r>
                                    <w:r w:rsidRPr="0023386E">
                                      <w:rPr>
                                        <w:rFonts w:ascii="Arial" w:eastAsia="Times New Roman" w:hAnsi="Arial" w:cs="Arial"/>
                                        <w:color w:val="FFFFFF"/>
                                        <w:sz w:val="20"/>
                                        <w:szCs w:val="20"/>
                                        <w:lang w:val="en-AU"/>
                                      </w:rPr>
                                      <w:br/>
                                    </w:r>
                                    <w:proofErr w:type="spellStart"/>
                                    <w:r w:rsidRPr="0023386E">
                                      <w:rPr>
                                        <w:rFonts w:ascii="Roboto" w:eastAsia="Times New Roman" w:hAnsi="Roboto" w:cs="Calibri"/>
                                        <w:b/>
                                        <w:bCs/>
                                        <w:color w:val="FFFFFF"/>
                                        <w:sz w:val="20"/>
                                        <w:szCs w:val="20"/>
                                        <w:lang w:val="en-AU"/>
                                      </w:rPr>
                                      <w:t>Laureta</w:t>
                                    </w:r>
                                    <w:proofErr w:type="spellEnd"/>
                                    <w:r w:rsidRPr="0023386E">
                                      <w:rPr>
                                        <w:rFonts w:ascii="Roboto" w:eastAsia="Times New Roman" w:hAnsi="Roboto" w:cs="Calibri"/>
                                        <w:b/>
                                        <w:bCs/>
                                        <w:color w:val="FFFFFF"/>
                                        <w:sz w:val="20"/>
                                        <w:szCs w:val="20"/>
                                        <w:lang w:val="en-AU"/>
                                      </w:rPr>
                                      <w:t xml:space="preserve"> Wallace</w:t>
                                    </w:r>
                                    <w:r w:rsidRPr="0023386E">
                                      <w:rPr>
                                        <w:rFonts w:ascii="Roboto" w:eastAsia="Times New Roman" w:hAnsi="Roboto" w:cs="Calibri"/>
                                        <w:color w:val="FFFFFF"/>
                                        <w:sz w:val="20"/>
                                        <w:szCs w:val="20"/>
                                        <w:lang w:val="en-AU"/>
                                      </w:rPr>
                                      <w:br/>
                                      <w:t>GM, Media &amp; Communications</w:t>
                                    </w:r>
                                    <w:r w:rsidRPr="0023386E">
                                      <w:rPr>
                                        <w:rFonts w:ascii="Roboto" w:eastAsia="Times New Roman" w:hAnsi="Roboto" w:cs="Calibri"/>
                                        <w:color w:val="FFFFFF"/>
                                        <w:sz w:val="20"/>
                                        <w:szCs w:val="20"/>
                                        <w:lang w:val="en-AU"/>
                                      </w:rPr>
                                      <w:br/>
                                      <w:t>0408 448 250</w:t>
                                    </w:r>
                                    <w:r w:rsidRPr="0023386E">
                                      <w:rPr>
                                        <w:rFonts w:ascii="Roboto" w:eastAsia="Times New Roman" w:hAnsi="Roboto" w:cs="Calibri"/>
                                        <w:color w:val="FFFFFF"/>
                                        <w:sz w:val="20"/>
                                        <w:szCs w:val="20"/>
                                        <w:lang w:val="en-AU"/>
                                      </w:rPr>
                                      <w:br/>
                                    </w:r>
                                    <w:hyperlink r:id="rId6" w:tooltip="mailto:lwallace@nff.org.au" w:history="1">
                                      <w:r w:rsidRPr="0023386E">
                                        <w:rPr>
                                          <w:rFonts w:ascii="Roboto" w:eastAsia="Times New Roman" w:hAnsi="Roboto" w:cs="Calibri"/>
                                          <w:color w:val="800080"/>
                                          <w:sz w:val="20"/>
                                          <w:szCs w:val="20"/>
                                          <w:u w:val="single"/>
                                          <w:lang w:val="en-AU"/>
                                        </w:rPr>
                                        <w:t>lwallace@nff.org.au</w:t>
                                      </w:r>
                                    </w:hyperlink>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r w:rsidR="0023386E" w:rsidRPr="0023386E">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3386E" w:rsidRPr="0023386E">
                          <w:trPr>
                            <w:tblCellSpacing w:w="0" w:type="dxa"/>
                          </w:trPr>
                          <w:tc>
                            <w:tcPr>
                              <w:tcW w:w="0" w:type="auto"/>
                              <w:shd w:val="clear" w:color="auto" w:fill="3F3F3F"/>
                              <w:tcMar>
                                <w:top w:w="75" w:type="dxa"/>
                                <w:left w:w="75" w:type="dxa"/>
                                <w:bottom w:w="30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3386E" w:rsidRPr="0023386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3386E" w:rsidRPr="0023386E">
                                      <w:trPr>
                                        <w:tblCellSpacing w:w="0" w:type="dxa"/>
                                      </w:trPr>
                                      <w:tc>
                                        <w:tcPr>
                                          <w:tcW w:w="9750"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80"/>
                                            <w:gridCol w:w="150"/>
                                            <w:gridCol w:w="680"/>
                                            <w:gridCol w:w="150"/>
                                            <w:gridCol w:w="680"/>
                                            <w:gridCol w:w="150"/>
                                            <w:gridCol w:w="680"/>
                                            <w:gridCol w:w="150"/>
                                            <w:gridCol w:w="680"/>
                                            <w:gridCol w:w="150"/>
                                            <w:gridCol w:w="680"/>
                                            <w:gridCol w:w="150"/>
                                            <w:gridCol w:w="680"/>
                                          </w:tblGrid>
                                          <w:tr w:rsidR="0023386E" w:rsidRPr="0023386E">
                                            <w:trPr>
                                              <w:tblCellSpacing w:w="0" w:type="dxa"/>
                                              <w:jc w:val="center"/>
                                            </w:trPr>
                                            <w:tc>
                                              <w:tcPr>
                                                <w:tcW w:w="510" w:type="dxa"/>
                                                <w:vAlign w:val="center"/>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Calibri" w:eastAsia="Times New Roman" w:hAnsi="Calibri" w:cs="Calibri"/>
                                                    <w:noProof/>
                                                    <w:color w:val="FFB400"/>
                                                    <w:sz w:val="2"/>
                                                    <w:szCs w:val="2"/>
                                                    <w:lang w:val="en-AU"/>
                                                  </w:rPr>
                                                  <w:drawing>
                                                    <wp:inline distT="0" distB="0" distL="0" distR="0">
                                                      <wp:extent cx="431800" cy="431800"/>
                                                      <wp:effectExtent l="0" t="0" r="0" b="0"/>
                                                      <wp:docPr id="8" name="Picture 8" descr="/var/folders/3m/twt1r5ws7jbfqbl8y08kyx4m0000gn/T/com.microsoft.Word/WebArchiveCopyPasteTempFiles/flat-light-round-faceboo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3m/twt1r5ws7jbfqbl8y08kyx4m0000gn/T/com.microsoft.Word/WebArchiveCopyPasteTempFiles/flat-light-round-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23386E" w:rsidRPr="0023386E" w:rsidRDefault="0023386E" w:rsidP="0023386E">
                                                <w:pPr>
                                                  <w:framePr w:wrap="around" w:vAnchor="text" w:hAnchor="text"/>
                                                  <w:rPr>
                                                    <w:rFonts w:ascii="Calibri" w:eastAsia="Times New Roman" w:hAnsi="Calibri" w:cs="Calibri"/>
                                                    <w:sz w:val="22"/>
                                                    <w:szCs w:val="22"/>
                                                    <w:lang w:val="en-AU"/>
                                                  </w:rPr>
                                                </w:pPr>
                                                <w:r w:rsidRPr="0023386E">
                                                  <w:rPr>
                                                    <w:rFonts w:ascii="Calibri" w:eastAsia="Times New Roman" w:hAnsi="Calibri" w:cs="Calibri"/>
                                                    <w:sz w:val="2"/>
                                                    <w:szCs w:val="2"/>
                                                    <w:lang w:val="en-AU"/>
                                                  </w:rPr>
                                                  <w:t> </w:t>
                                                </w:r>
                                              </w:p>
                                            </w:tc>
                                            <w:tc>
                                              <w:tcPr>
                                                <w:tcW w:w="510" w:type="dxa"/>
                                                <w:vAlign w:val="center"/>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Calibri" w:eastAsia="Times New Roman" w:hAnsi="Calibri" w:cs="Calibri"/>
                                                    <w:noProof/>
                                                    <w:color w:val="FFB400"/>
                                                    <w:sz w:val="2"/>
                                                    <w:szCs w:val="2"/>
                                                    <w:lang w:val="en-AU"/>
                                                  </w:rPr>
                                                  <w:drawing>
                                                    <wp:inline distT="0" distB="0" distL="0" distR="0">
                                                      <wp:extent cx="431800" cy="431800"/>
                                                      <wp:effectExtent l="0" t="0" r="0" b="0"/>
                                                      <wp:docPr id="7" name="Picture 7" descr="/var/folders/3m/twt1r5ws7jbfqbl8y08kyx4m0000gn/T/com.microsoft.Word/WebArchiveCopyPasteTempFiles/flat-light-round-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3m/twt1r5ws7jbfqbl8y08kyx4m0000gn/T/com.microsoft.Word/WebArchiveCopyPasteTempFiles/flat-light-round-twit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23386E" w:rsidRPr="0023386E" w:rsidRDefault="0023386E" w:rsidP="0023386E">
                                                <w:pPr>
                                                  <w:framePr w:wrap="around" w:vAnchor="text" w:hAnchor="text"/>
                                                  <w:rPr>
                                                    <w:rFonts w:ascii="Calibri" w:eastAsia="Times New Roman" w:hAnsi="Calibri" w:cs="Calibri"/>
                                                    <w:sz w:val="22"/>
                                                    <w:szCs w:val="22"/>
                                                    <w:lang w:val="en-AU"/>
                                                  </w:rPr>
                                                </w:pPr>
                                                <w:r w:rsidRPr="0023386E">
                                                  <w:rPr>
                                                    <w:rFonts w:ascii="Calibri" w:eastAsia="Times New Roman" w:hAnsi="Calibri" w:cs="Calibri"/>
                                                    <w:sz w:val="2"/>
                                                    <w:szCs w:val="2"/>
                                                    <w:lang w:val="en-AU"/>
                                                  </w:rPr>
                                                  <w:t> </w:t>
                                                </w:r>
                                              </w:p>
                                            </w:tc>
                                            <w:tc>
                                              <w:tcPr>
                                                <w:tcW w:w="510" w:type="dxa"/>
                                                <w:vAlign w:val="center"/>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Calibri" w:eastAsia="Times New Roman" w:hAnsi="Calibri" w:cs="Calibri"/>
                                                    <w:noProof/>
                                                    <w:color w:val="FFB400"/>
                                                    <w:sz w:val="2"/>
                                                    <w:szCs w:val="2"/>
                                                    <w:lang w:val="en-AU"/>
                                                  </w:rPr>
                                                  <w:drawing>
                                                    <wp:inline distT="0" distB="0" distL="0" distR="0">
                                                      <wp:extent cx="431800" cy="431800"/>
                                                      <wp:effectExtent l="0" t="0" r="0" b="0"/>
                                                      <wp:docPr id="6" name="Picture 6" descr="/var/folders/3m/twt1r5ws7jbfqbl8y08kyx4m0000gn/T/com.microsoft.Word/WebArchiveCopyPasteTempFiles/flat-light-round-linkedi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3m/twt1r5ws7jbfqbl8y08kyx4m0000gn/T/com.microsoft.Word/WebArchiveCopyPasteTempFiles/flat-light-round-linked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23386E" w:rsidRPr="0023386E" w:rsidRDefault="0023386E" w:rsidP="0023386E">
                                                <w:pPr>
                                                  <w:framePr w:wrap="around" w:vAnchor="text" w:hAnchor="text"/>
                                                  <w:rPr>
                                                    <w:rFonts w:ascii="Calibri" w:eastAsia="Times New Roman" w:hAnsi="Calibri" w:cs="Calibri"/>
                                                    <w:sz w:val="22"/>
                                                    <w:szCs w:val="22"/>
                                                    <w:lang w:val="en-AU"/>
                                                  </w:rPr>
                                                </w:pPr>
                                                <w:r w:rsidRPr="0023386E">
                                                  <w:rPr>
                                                    <w:rFonts w:ascii="Calibri" w:eastAsia="Times New Roman" w:hAnsi="Calibri" w:cs="Calibri"/>
                                                    <w:sz w:val="2"/>
                                                    <w:szCs w:val="2"/>
                                                    <w:lang w:val="en-AU"/>
                                                  </w:rPr>
                                                  <w:t> </w:t>
                                                </w:r>
                                              </w:p>
                                            </w:tc>
                                            <w:tc>
                                              <w:tcPr>
                                                <w:tcW w:w="510" w:type="dxa"/>
                                                <w:vAlign w:val="center"/>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Calibri" w:eastAsia="Times New Roman" w:hAnsi="Calibri" w:cs="Calibri"/>
                                                    <w:noProof/>
                                                    <w:color w:val="FFB400"/>
                                                    <w:sz w:val="2"/>
                                                    <w:szCs w:val="2"/>
                                                    <w:lang w:val="en-AU"/>
                                                  </w:rPr>
                                                  <w:drawing>
                                                    <wp:inline distT="0" distB="0" distL="0" distR="0">
                                                      <wp:extent cx="431800" cy="431800"/>
                                                      <wp:effectExtent l="0" t="0" r="0" b="0"/>
                                                      <wp:docPr id="5" name="Picture 5" descr="/var/folders/3m/twt1r5ws7jbfqbl8y08kyx4m0000gn/T/com.microsoft.Word/WebArchiveCopyPasteTempFiles/flat-light-round-youtub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3m/twt1r5ws7jbfqbl8y08kyx4m0000gn/T/com.microsoft.Word/WebArchiveCopyPasteTempFiles/flat-light-round-youtub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23386E" w:rsidRPr="0023386E" w:rsidRDefault="0023386E" w:rsidP="0023386E">
                                                <w:pPr>
                                                  <w:framePr w:wrap="around" w:vAnchor="text" w:hAnchor="text"/>
                                                  <w:rPr>
                                                    <w:rFonts w:ascii="Calibri" w:eastAsia="Times New Roman" w:hAnsi="Calibri" w:cs="Calibri"/>
                                                    <w:sz w:val="22"/>
                                                    <w:szCs w:val="22"/>
                                                    <w:lang w:val="en-AU"/>
                                                  </w:rPr>
                                                </w:pPr>
                                                <w:r w:rsidRPr="0023386E">
                                                  <w:rPr>
                                                    <w:rFonts w:ascii="Calibri" w:eastAsia="Times New Roman" w:hAnsi="Calibri" w:cs="Calibri"/>
                                                    <w:sz w:val="2"/>
                                                    <w:szCs w:val="2"/>
                                                    <w:lang w:val="en-AU"/>
                                                  </w:rPr>
                                                  <w:t> </w:t>
                                                </w:r>
                                              </w:p>
                                            </w:tc>
                                            <w:tc>
                                              <w:tcPr>
                                                <w:tcW w:w="510" w:type="dxa"/>
                                                <w:vAlign w:val="center"/>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Calibri" w:eastAsia="Times New Roman" w:hAnsi="Calibri" w:cs="Calibri"/>
                                                    <w:noProof/>
                                                    <w:color w:val="FFB400"/>
                                                    <w:sz w:val="2"/>
                                                    <w:szCs w:val="2"/>
                                                    <w:lang w:val="en-AU"/>
                                                  </w:rPr>
                                                  <w:drawing>
                                                    <wp:inline distT="0" distB="0" distL="0" distR="0">
                                                      <wp:extent cx="431800" cy="431800"/>
                                                      <wp:effectExtent l="0" t="0" r="0" b="0"/>
                                                      <wp:docPr id="4" name="Picture 4" descr="/var/folders/3m/twt1r5ws7jbfqbl8y08kyx4m0000gn/T/com.microsoft.Word/WebArchiveCopyPasteTempFiles/flat-light-round-instagra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3m/twt1r5ws7jbfqbl8y08kyx4m0000gn/T/com.microsoft.Word/WebArchiveCopyPasteTempFiles/flat-light-round-instagr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23386E" w:rsidRPr="0023386E" w:rsidRDefault="0023386E" w:rsidP="0023386E">
                                                <w:pPr>
                                                  <w:framePr w:wrap="around" w:vAnchor="text" w:hAnchor="text"/>
                                                  <w:rPr>
                                                    <w:rFonts w:ascii="Calibri" w:eastAsia="Times New Roman" w:hAnsi="Calibri" w:cs="Calibri"/>
                                                    <w:sz w:val="22"/>
                                                    <w:szCs w:val="22"/>
                                                    <w:lang w:val="en-AU"/>
                                                  </w:rPr>
                                                </w:pPr>
                                                <w:r w:rsidRPr="0023386E">
                                                  <w:rPr>
                                                    <w:rFonts w:ascii="Calibri" w:eastAsia="Times New Roman" w:hAnsi="Calibri" w:cs="Calibri"/>
                                                    <w:sz w:val="2"/>
                                                    <w:szCs w:val="2"/>
                                                    <w:lang w:val="en-AU"/>
                                                  </w:rPr>
                                                  <w:t> </w:t>
                                                </w:r>
                                              </w:p>
                                            </w:tc>
                                            <w:tc>
                                              <w:tcPr>
                                                <w:tcW w:w="510" w:type="dxa"/>
                                                <w:vAlign w:val="center"/>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Calibri" w:eastAsia="Times New Roman" w:hAnsi="Calibri" w:cs="Calibri"/>
                                                    <w:noProof/>
                                                    <w:color w:val="FFB400"/>
                                                    <w:sz w:val="2"/>
                                                    <w:szCs w:val="2"/>
                                                    <w:lang w:val="en-AU"/>
                                                  </w:rPr>
                                                  <w:drawing>
                                                    <wp:inline distT="0" distB="0" distL="0" distR="0">
                                                      <wp:extent cx="431800" cy="431800"/>
                                                      <wp:effectExtent l="0" t="0" r="0" b="0"/>
                                                      <wp:docPr id="3" name="Picture 3" descr="/var/folders/3m/twt1r5ws7jbfqbl8y08kyx4m0000gn/T/com.microsoft.Word/WebArchiveCopyPasteTempFiles/flat-light-round-websit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3m/twt1r5ws7jbfqbl8y08kyx4m0000gn/T/com.microsoft.Word/WebArchiveCopyPasteTempFiles/flat-light-round-websi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50" w:type="dxa"/>
                                                <w:vAlign w:val="center"/>
                                                <w:hideMark/>
                                              </w:tcPr>
                                              <w:p w:rsidR="0023386E" w:rsidRPr="0023386E" w:rsidRDefault="0023386E" w:rsidP="0023386E">
                                                <w:pPr>
                                                  <w:framePr w:wrap="around" w:vAnchor="text" w:hAnchor="text"/>
                                                  <w:rPr>
                                                    <w:rFonts w:ascii="Calibri" w:eastAsia="Times New Roman" w:hAnsi="Calibri" w:cs="Calibri"/>
                                                    <w:sz w:val="22"/>
                                                    <w:szCs w:val="22"/>
                                                    <w:lang w:val="en-AU"/>
                                                  </w:rPr>
                                                </w:pPr>
                                                <w:r w:rsidRPr="0023386E">
                                                  <w:rPr>
                                                    <w:rFonts w:ascii="Calibri" w:eastAsia="Times New Roman" w:hAnsi="Calibri" w:cs="Calibri"/>
                                                    <w:sz w:val="2"/>
                                                    <w:szCs w:val="2"/>
                                                    <w:lang w:val="en-AU"/>
                                                  </w:rPr>
                                                  <w:t> </w:t>
                                                </w:r>
                                              </w:p>
                                            </w:tc>
                                            <w:tc>
                                              <w:tcPr>
                                                <w:tcW w:w="510" w:type="dxa"/>
                                                <w:vAlign w:val="center"/>
                                                <w:hideMark/>
                                              </w:tcPr>
                                              <w:p w:rsidR="0023386E" w:rsidRPr="0023386E" w:rsidRDefault="0023386E" w:rsidP="0023386E">
                                                <w:pPr>
                                                  <w:framePr w:wrap="around" w:vAnchor="text" w:hAnchor="text"/>
                                                  <w:jc w:val="center"/>
                                                  <w:rPr>
                                                    <w:rFonts w:ascii="Calibri" w:eastAsia="Times New Roman" w:hAnsi="Calibri" w:cs="Calibri"/>
                                                    <w:sz w:val="22"/>
                                                    <w:szCs w:val="22"/>
                                                    <w:lang w:val="en-AU"/>
                                                  </w:rPr>
                                                </w:pPr>
                                                <w:r w:rsidRPr="0023386E">
                                                  <w:rPr>
                                                    <w:rFonts w:ascii="Calibri" w:eastAsia="Times New Roman" w:hAnsi="Calibri" w:cs="Calibri"/>
                                                    <w:noProof/>
                                                    <w:color w:val="FFB400"/>
                                                    <w:sz w:val="2"/>
                                                    <w:szCs w:val="2"/>
                                                    <w:lang w:val="en-AU"/>
                                                  </w:rPr>
                                                  <w:drawing>
                                                    <wp:inline distT="0" distB="0" distL="0" distR="0">
                                                      <wp:extent cx="431800" cy="431800"/>
                                                      <wp:effectExtent l="0" t="0" r="0" b="0"/>
                                                      <wp:docPr id="2" name="Picture 2" descr="/var/folders/3m/twt1r5ws7jbfqbl8y08kyx4m0000gn/T/com.microsoft.Word/WebArchiveCopyPasteTempFiles/flat-light-round-email.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3m/twt1r5ws7jbfqbl8y08kyx4m0000gn/T/com.microsoft.Word/WebArchiveCopyPasteTempFiles/flat-light-round-email.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r>
                                        </w:tbl>
                                        <w:p w:rsidR="0023386E" w:rsidRPr="0023386E" w:rsidRDefault="0023386E" w:rsidP="0023386E">
                                          <w:pPr>
                                            <w:framePr w:wrap="around" w:vAnchor="text" w:hAnchor="text"/>
                                            <w:jc w:val="center"/>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rPr>
                            <w:rFonts w:ascii="Times New Roman" w:eastAsia="Times New Roman" w:hAnsi="Times New Roman" w:cs="Times New Roman"/>
                            <w:lang w:val="en-AU"/>
                          </w:rPr>
                        </w:pPr>
                      </w:p>
                    </w:tc>
                  </w:tr>
                </w:tbl>
                <w:p w:rsidR="0023386E" w:rsidRPr="0023386E" w:rsidRDefault="0023386E" w:rsidP="0023386E">
                  <w:pPr>
                    <w:framePr w:wrap="around" w:vAnchor="text" w:hAnchor="text"/>
                    <w:jc w:val="center"/>
                    <w:rPr>
                      <w:rFonts w:ascii="Times New Roman" w:eastAsia="Times New Roman" w:hAnsi="Times New Roman" w:cs="Times New Roman"/>
                      <w:lang w:val="en-AU"/>
                    </w:rPr>
                  </w:pPr>
                </w:p>
              </w:tc>
            </w:tr>
          </w:tbl>
          <w:p w:rsidR="0023386E" w:rsidRPr="0023386E" w:rsidRDefault="0023386E" w:rsidP="0023386E">
            <w:pPr>
              <w:jc w:val="center"/>
              <w:rPr>
                <w:rFonts w:ascii="Arial" w:eastAsia="Times New Roman" w:hAnsi="Arial" w:cs="Arial"/>
                <w:lang w:val="en-AU"/>
              </w:rPr>
            </w:pPr>
          </w:p>
        </w:tc>
      </w:tr>
    </w:tbl>
    <w:p w:rsidR="0023386E" w:rsidRPr="0023386E" w:rsidRDefault="0023386E" w:rsidP="00CC0BF6">
      <w:pPr>
        <w:shd w:val="clear" w:color="auto" w:fill="EFEEE7"/>
        <w:jc w:val="center"/>
        <w:rPr>
          <w:rFonts w:ascii="Calibri" w:eastAsia="Times New Roman" w:hAnsi="Calibri" w:cs="Calibri"/>
          <w:color w:val="000000"/>
          <w:sz w:val="22"/>
          <w:szCs w:val="22"/>
          <w:lang w:val="en-AU"/>
        </w:rPr>
      </w:pPr>
      <w:bookmarkStart w:id="0" w:name="_GoBack"/>
      <w:bookmarkEnd w:id="0"/>
      <w:r w:rsidRPr="0023386E">
        <w:rPr>
          <w:rFonts w:ascii="Arial" w:eastAsia="Times New Roman" w:hAnsi="Arial" w:cs="Arial"/>
          <w:color w:val="000000"/>
          <w:sz w:val="22"/>
          <w:szCs w:val="22"/>
          <w:lang w:val="en-AU"/>
        </w:rPr>
        <w:lastRenderedPageBreak/>
        <w:br w:type="textWrapping" w:clear="all"/>
      </w:r>
    </w:p>
    <w:p w:rsidR="00E0286A" w:rsidRDefault="00CC0BF6"/>
    <w:sectPr w:rsidR="00E0286A" w:rsidSect="00ED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6E"/>
    <w:rsid w:val="00076C29"/>
    <w:rsid w:val="001246BB"/>
    <w:rsid w:val="0023386E"/>
    <w:rsid w:val="00782CF7"/>
    <w:rsid w:val="008E0BC8"/>
    <w:rsid w:val="008E1442"/>
    <w:rsid w:val="009331D2"/>
    <w:rsid w:val="00CC0BF6"/>
    <w:rsid w:val="00E85A9B"/>
    <w:rsid w:val="00ED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334EBE"/>
  <w14:defaultImageDpi w14:val="32767"/>
  <w15:chartTrackingRefBased/>
  <w15:docId w15:val="{3BC20C6D-4E7B-5F47-B542-5B79FD80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86E"/>
    <w:rPr>
      <w:color w:val="0000FF"/>
      <w:u w:val="single"/>
    </w:rPr>
  </w:style>
  <w:style w:type="character" w:customStyle="1" w:styleId="apple-converted-space">
    <w:name w:val="apple-converted-space"/>
    <w:basedOn w:val="DefaultParagraphFont"/>
    <w:rsid w:val="0023386E"/>
  </w:style>
  <w:style w:type="paragraph" w:styleId="BalloonText">
    <w:name w:val="Balloon Text"/>
    <w:basedOn w:val="Normal"/>
    <w:link w:val="BalloonTextChar"/>
    <w:uiPriority w:val="99"/>
    <w:semiHidden/>
    <w:unhideWhenUsed/>
    <w:rsid w:val="002338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8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06227">
      <w:bodyDiv w:val="1"/>
      <w:marLeft w:val="0"/>
      <w:marRight w:val="0"/>
      <w:marTop w:val="0"/>
      <w:marBottom w:val="0"/>
      <w:divBdr>
        <w:top w:val="none" w:sz="0" w:space="0" w:color="auto"/>
        <w:left w:val="none" w:sz="0" w:space="0" w:color="auto"/>
        <w:bottom w:val="none" w:sz="0" w:space="0" w:color="auto"/>
        <w:right w:val="none" w:sz="0" w:space="0" w:color="auto"/>
      </w:divBdr>
      <w:divsChild>
        <w:div w:id="1373916219">
          <w:marLeft w:val="0"/>
          <w:marRight w:val="0"/>
          <w:marTop w:val="0"/>
          <w:marBottom w:val="0"/>
          <w:divBdr>
            <w:top w:val="none" w:sz="0" w:space="0" w:color="auto"/>
            <w:left w:val="none" w:sz="0" w:space="0" w:color="auto"/>
            <w:bottom w:val="none" w:sz="0" w:space="0" w:color="auto"/>
            <w:right w:val="none" w:sz="0" w:space="0" w:color="auto"/>
          </w:divBdr>
        </w:div>
        <w:div w:id="780414085">
          <w:marLeft w:val="0"/>
          <w:marRight w:val="0"/>
          <w:marTop w:val="0"/>
          <w:marBottom w:val="0"/>
          <w:divBdr>
            <w:top w:val="none" w:sz="0" w:space="0" w:color="auto"/>
            <w:left w:val="none" w:sz="0" w:space="0" w:color="auto"/>
            <w:bottom w:val="none" w:sz="0" w:space="0" w:color="auto"/>
            <w:right w:val="none" w:sz="0" w:space="0" w:color="auto"/>
          </w:divBdr>
          <w:divsChild>
            <w:div w:id="1915125416">
              <w:marLeft w:val="0"/>
              <w:marRight w:val="0"/>
              <w:marTop w:val="0"/>
              <w:marBottom w:val="0"/>
              <w:divBdr>
                <w:top w:val="none" w:sz="0" w:space="0" w:color="auto"/>
                <w:left w:val="none" w:sz="0" w:space="0" w:color="auto"/>
                <w:bottom w:val="none" w:sz="0" w:space="0" w:color="auto"/>
                <w:right w:val="none" w:sz="0" w:space="0" w:color="auto"/>
              </w:divBdr>
            </w:div>
          </w:divsChild>
        </w:div>
        <w:div w:id="1062873465">
          <w:marLeft w:val="0"/>
          <w:marRight w:val="0"/>
          <w:marTop w:val="0"/>
          <w:marBottom w:val="0"/>
          <w:divBdr>
            <w:top w:val="none" w:sz="0" w:space="0" w:color="auto"/>
            <w:left w:val="none" w:sz="0" w:space="0" w:color="auto"/>
            <w:bottom w:val="none" w:sz="0" w:space="0" w:color="auto"/>
            <w:right w:val="none" w:sz="0" w:space="0" w:color="auto"/>
          </w:divBdr>
        </w:div>
        <w:div w:id="598802653">
          <w:marLeft w:val="0"/>
          <w:marRight w:val="0"/>
          <w:marTop w:val="0"/>
          <w:marBottom w:val="0"/>
          <w:divBdr>
            <w:top w:val="none" w:sz="0" w:space="0" w:color="auto"/>
            <w:left w:val="none" w:sz="0" w:space="0" w:color="auto"/>
            <w:bottom w:val="none" w:sz="0" w:space="0" w:color="auto"/>
            <w:right w:val="none" w:sz="0" w:space="0" w:color="auto"/>
          </w:divBdr>
        </w:div>
        <w:div w:id="888689857">
          <w:marLeft w:val="0"/>
          <w:marRight w:val="0"/>
          <w:marTop w:val="0"/>
          <w:marBottom w:val="0"/>
          <w:divBdr>
            <w:top w:val="none" w:sz="0" w:space="0" w:color="auto"/>
            <w:left w:val="none" w:sz="0" w:space="0" w:color="auto"/>
            <w:bottom w:val="none" w:sz="0" w:space="0" w:color="auto"/>
            <w:right w:val="none" w:sz="0" w:space="0" w:color="auto"/>
          </w:divBdr>
        </w:div>
        <w:div w:id="228199157">
          <w:marLeft w:val="0"/>
          <w:marRight w:val="0"/>
          <w:marTop w:val="0"/>
          <w:marBottom w:val="0"/>
          <w:divBdr>
            <w:top w:val="none" w:sz="0" w:space="0" w:color="auto"/>
            <w:left w:val="none" w:sz="0" w:space="0" w:color="auto"/>
            <w:bottom w:val="none" w:sz="0" w:space="0" w:color="auto"/>
            <w:right w:val="none" w:sz="0" w:space="0" w:color="auto"/>
          </w:divBdr>
        </w:div>
        <w:div w:id="1838642765">
          <w:marLeft w:val="0"/>
          <w:marRight w:val="0"/>
          <w:marTop w:val="0"/>
          <w:marBottom w:val="0"/>
          <w:divBdr>
            <w:top w:val="none" w:sz="0" w:space="0" w:color="auto"/>
            <w:left w:val="none" w:sz="0" w:space="0" w:color="auto"/>
            <w:bottom w:val="none" w:sz="0" w:space="0" w:color="auto"/>
            <w:right w:val="none" w:sz="0" w:space="0" w:color="auto"/>
          </w:divBdr>
        </w:div>
        <w:div w:id="296958341">
          <w:marLeft w:val="0"/>
          <w:marRight w:val="0"/>
          <w:marTop w:val="0"/>
          <w:marBottom w:val="0"/>
          <w:divBdr>
            <w:top w:val="none" w:sz="0" w:space="0" w:color="auto"/>
            <w:left w:val="none" w:sz="0" w:space="0" w:color="auto"/>
            <w:bottom w:val="none" w:sz="0" w:space="0" w:color="auto"/>
            <w:right w:val="none" w:sz="0" w:space="0" w:color="auto"/>
          </w:divBdr>
        </w:div>
        <w:div w:id="116165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mail.farmers.org.au/lt.php?s=e34d3c46a435eb4b13c780de54e08f9e&amp;i=87A123A3A853"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mail.farmers.org.au/lt.php?s=e34d3c46a435eb4b13c780de54e08f9e&amp;i=87A123A3A850" TargetMode="External"/><Relationship Id="rId12" Type="http://schemas.openxmlformats.org/officeDocument/2006/relationships/image" Target="media/image4.png"/><Relationship Id="rId17" Type="http://schemas.openxmlformats.org/officeDocument/2006/relationships/hyperlink" Target="http://email.farmers.org.au/lt.php?s=e34d3c46a435eb4b13c780de54e08f9e&amp;i=87A123A3A855"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mailto:lwallace@nff.org.au" TargetMode="External"/><Relationship Id="rId11" Type="http://schemas.openxmlformats.org/officeDocument/2006/relationships/hyperlink" Target="http://email.farmers.org.au/lt.php?s=e34d3c46a435eb4b13c780de54e08f9e&amp;i=87A123A3A852" TargetMode="External"/><Relationship Id="rId5" Type="http://schemas.openxmlformats.org/officeDocument/2006/relationships/hyperlink" Target="http://email.farmers.org.au/lt.php?s=e34d3c46a435eb4b13c780de54e08f9e&amp;i=87A123A3A849" TargetMode="External"/><Relationship Id="rId15" Type="http://schemas.openxmlformats.org/officeDocument/2006/relationships/hyperlink" Target="http://email.farmers.org.au/lt.php?s=e34d3c46a435eb4b13c780de54e08f9e&amp;i=87A123A3A854" TargetMode="External"/><Relationship Id="rId10" Type="http://schemas.openxmlformats.org/officeDocument/2006/relationships/image" Target="media/image3.png"/><Relationship Id="rId19" Type="http://schemas.openxmlformats.org/officeDocument/2006/relationships/hyperlink" Target="mailto:reception@nff.org.au" TargetMode="External"/><Relationship Id="rId4" Type="http://schemas.openxmlformats.org/officeDocument/2006/relationships/image" Target="media/image1.png"/><Relationship Id="rId9" Type="http://schemas.openxmlformats.org/officeDocument/2006/relationships/hyperlink" Target="http://email.farmers.org.au/lt.php?s=e34d3c46a435eb4b13c780de54e08f9e&amp;i=87A123A3A851"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Goddard - COXTECH</dc:creator>
  <cp:keywords/>
  <dc:description/>
  <cp:lastModifiedBy>Brad Goddard - COXTECH</cp:lastModifiedBy>
  <cp:revision>3</cp:revision>
  <dcterms:created xsi:type="dcterms:W3CDTF">2019-04-05T04:01:00Z</dcterms:created>
  <dcterms:modified xsi:type="dcterms:W3CDTF">2019-04-05T04:05:00Z</dcterms:modified>
</cp:coreProperties>
</file>